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2D57" w14:textId="34531B3A" w:rsidR="00ED7194" w:rsidRDefault="00E86144" w:rsidP="00D62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B3">
        <w:rPr>
          <w:rFonts w:ascii="Times New Roman" w:hAnsi="Times New Roman" w:cs="Times New Roman"/>
          <w:b/>
          <w:sz w:val="24"/>
          <w:szCs w:val="24"/>
        </w:rPr>
        <w:t xml:space="preserve">KAUNO MONTESORI MOKYKLOS-DARŽELIO „ŽIBURĖLIS“ </w:t>
      </w:r>
      <w:r w:rsidR="009D17FA" w:rsidRPr="009D17FA">
        <w:rPr>
          <w:rFonts w:ascii="Times New Roman" w:hAnsi="Times New Roman" w:cs="Times New Roman"/>
          <w:b/>
          <w:sz w:val="24"/>
          <w:szCs w:val="24"/>
        </w:rPr>
        <w:t>PAŽANGOS ATASKAITA</w:t>
      </w:r>
    </w:p>
    <w:tbl>
      <w:tblPr>
        <w:tblStyle w:val="Lentelstinklelis"/>
        <w:tblW w:w="15588" w:type="dxa"/>
        <w:tblLook w:val="04A0" w:firstRow="1" w:lastRow="0" w:firstColumn="1" w:lastColumn="0" w:noHBand="0" w:noVBand="1"/>
      </w:tblPr>
      <w:tblGrid>
        <w:gridCol w:w="3539"/>
        <w:gridCol w:w="12049"/>
      </w:tblGrid>
      <w:tr w:rsidR="002F091E" w:rsidRPr="00E064FC" w14:paraId="59825C11" w14:textId="77777777" w:rsidTr="009F7C5C">
        <w:trPr>
          <w:trHeight w:val="328"/>
        </w:trPr>
        <w:tc>
          <w:tcPr>
            <w:tcW w:w="15588" w:type="dxa"/>
            <w:gridSpan w:val="2"/>
          </w:tcPr>
          <w:p w14:paraId="1C9349C9" w14:textId="3F19301F" w:rsidR="002F091E" w:rsidRPr="00E064FC" w:rsidRDefault="002F091E" w:rsidP="002F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F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E06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METAI</w:t>
            </w:r>
          </w:p>
        </w:tc>
      </w:tr>
      <w:tr w:rsidR="002F091E" w:rsidRPr="00125490" w14:paraId="44F04599" w14:textId="77777777" w:rsidTr="00F4302E">
        <w:tc>
          <w:tcPr>
            <w:tcW w:w="3539" w:type="dxa"/>
          </w:tcPr>
          <w:p w14:paraId="7912CCEB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Stiprus veiklos rodiklis</w:t>
            </w:r>
          </w:p>
        </w:tc>
        <w:tc>
          <w:tcPr>
            <w:tcW w:w="12049" w:type="dxa"/>
          </w:tcPr>
          <w:p w14:paraId="614C3DEB" w14:textId="22DF2E47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Ugdymo(-</w:t>
            </w:r>
            <w:proofErr w:type="spellStart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) organizavimas</w:t>
            </w:r>
          </w:p>
        </w:tc>
      </w:tr>
      <w:tr w:rsidR="002F091E" w:rsidRPr="00E11AAC" w14:paraId="542A2D79" w14:textId="77777777" w:rsidTr="00F4302E">
        <w:tc>
          <w:tcPr>
            <w:tcW w:w="3539" w:type="dxa"/>
          </w:tcPr>
          <w:p w14:paraId="50AAE7A1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Raktinis žodis</w:t>
            </w:r>
          </w:p>
        </w:tc>
        <w:tc>
          <w:tcPr>
            <w:tcW w:w="12049" w:type="dxa"/>
          </w:tcPr>
          <w:p w14:paraId="4784FEA7" w14:textId="2CD10909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Klasės valdymas</w:t>
            </w:r>
          </w:p>
        </w:tc>
      </w:tr>
      <w:tr w:rsidR="002F091E" w:rsidRPr="00A7638E" w14:paraId="70F4AF25" w14:textId="77777777" w:rsidTr="00F4302E">
        <w:tc>
          <w:tcPr>
            <w:tcW w:w="3539" w:type="dxa"/>
          </w:tcPr>
          <w:p w14:paraId="711F6EDE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Pažangos pagrindimas</w:t>
            </w:r>
          </w:p>
        </w:tc>
        <w:tc>
          <w:tcPr>
            <w:tcW w:w="12049" w:type="dxa"/>
          </w:tcPr>
          <w:p w14:paraId="5DED3AC6" w14:textId="3EA1AE70" w:rsidR="002F091E" w:rsidRPr="005C36F9" w:rsidRDefault="002F091E" w:rsidP="002F091E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Ugdomosios stebėsenos 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bei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mokytojų, tėvų ir 3-4 klasių mokinių apklausų rezultatai: 100% mokytojų kuria</w:t>
            </w:r>
            <w:r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pozityvią ugdymosi aplinką grupėje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/klasėje</w:t>
            </w:r>
            <w:r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, kuri skatina vaikus savarankiškai veikti, mokytis, bendradarbiauti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. </w:t>
            </w:r>
            <w:r w:rsidR="004C1EC5"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100%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.</w:t>
            </w:r>
            <w:r w:rsidR="004C1EC5">
              <w:t xml:space="preserve"> V</w:t>
            </w:r>
            <w:r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aik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ų</w:t>
            </w:r>
            <w:r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nebijo klysti, drąsiai išsako savo nuomonę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.</w:t>
            </w:r>
            <w:r w:rsidRPr="0020745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</w:t>
            </w:r>
            <w:r w:rsidRPr="002C58E9">
              <w:rPr>
                <w:rFonts w:ascii="Times New Roman" w:hAnsi="Times New Roman" w:cs="Times New Roman"/>
                <w:sz w:val="24"/>
                <w:szCs w:val="24"/>
              </w:rPr>
              <w:t>Mokytojai s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iūlo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veiklas, kurios skatina vaikų susidomėjimą ir kelia jiems naujų iššūkių, žadina kūrybingumą, tyrinėjimą, eksperimentavimą, padeda savarankiškai ieškoti atsakymų, spręsti problemas 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(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100%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)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.</w:t>
            </w:r>
            <w:r>
              <w:t xml:space="preserve"> 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Vaiko grupėje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/klasėje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ugdymo procesą </w:t>
            </w:r>
            <w:r w:rsidR="00833E2B" w:rsidRPr="00833E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vertina gerai ir labai </w:t>
            </w:r>
            <w:r w:rsidRPr="002C58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96%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tėvų.</w:t>
            </w:r>
          </w:p>
        </w:tc>
      </w:tr>
      <w:tr w:rsidR="002F091E" w:rsidRPr="00A7638E" w14:paraId="79EC9986" w14:textId="77777777" w:rsidTr="00F4302E">
        <w:tc>
          <w:tcPr>
            <w:tcW w:w="3539" w:type="dxa"/>
          </w:tcPr>
          <w:p w14:paraId="75F009E3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Silpnas veiklos rodiklis</w:t>
            </w:r>
          </w:p>
        </w:tc>
        <w:tc>
          <w:tcPr>
            <w:tcW w:w="12049" w:type="dxa"/>
          </w:tcPr>
          <w:p w14:paraId="14B83597" w14:textId="18448887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Mokymasis</w:t>
            </w:r>
          </w:p>
        </w:tc>
      </w:tr>
      <w:tr w:rsidR="002F091E" w:rsidRPr="00A7638E" w14:paraId="563CD95B" w14:textId="77777777" w:rsidTr="00F4302E">
        <w:tc>
          <w:tcPr>
            <w:tcW w:w="3539" w:type="dxa"/>
          </w:tcPr>
          <w:p w14:paraId="04CAA850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Raktinis žodis</w:t>
            </w:r>
          </w:p>
        </w:tc>
        <w:tc>
          <w:tcPr>
            <w:tcW w:w="12049" w:type="dxa"/>
          </w:tcPr>
          <w:p w14:paraId="6DA7B7A3" w14:textId="4513E1C7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Savivaldumas</w:t>
            </w:r>
            <w:proofErr w:type="spellEnd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 xml:space="preserve"> mokantis</w:t>
            </w:r>
          </w:p>
        </w:tc>
      </w:tr>
      <w:tr w:rsidR="002F091E" w:rsidRPr="00A7638E" w14:paraId="74C438DD" w14:textId="77777777" w:rsidTr="00F4302E">
        <w:trPr>
          <w:trHeight w:val="437"/>
        </w:trPr>
        <w:tc>
          <w:tcPr>
            <w:tcW w:w="3539" w:type="dxa"/>
          </w:tcPr>
          <w:p w14:paraId="776B5CAF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Pagrindimas</w:t>
            </w:r>
          </w:p>
        </w:tc>
        <w:tc>
          <w:tcPr>
            <w:tcW w:w="12049" w:type="dxa"/>
          </w:tcPr>
          <w:p w14:paraId="6CCFA39A" w14:textId="51DA3986" w:rsidR="002F091E" w:rsidRPr="005C36F9" w:rsidRDefault="002F091E" w:rsidP="00F43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Ugdomosios stebėsenos </w:t>
            </w:r>
            <w:r w:rsidR="004C1EC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>bei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color="000000"/>
              </w:rPr>
              <w:t xml:space="preserve"> mokytojų, tėvų ir 3-4 klasių mokinių apklausų rezultatai: </w:t>
            </w:r>
            <w:r w:rsidRPr="00EB096A">
              <w:rPr>
                <w:rFonts w:ascii="Times New Roman" w:hAnsi="Times New Roman" w:cs="Times New Roman"/>
                <w:sz w:val="24"/>
                <w:szCs w:val="24"/>
              </w:rPr>
              <w:t>62% mokinių gali pasirinkti įvairius užduočių atlikimo būdus, 32% šiek tiek sutinka ir 3 % nesutinka.</w:t>
            </w:r>
            <w:r>
              <w:t xml:space="preserve"> </w:t>
            </w:r>
            <w:r w:rsidRPr="00EB096A">
              <w:rPr>
                <w:rFonts w:ascii="Times New Roman" w:hAnsi="Times New Roman" w:cs="Times New Roman"/>
                <w:sz w:val="24"/>
                <w:szCs w:val="24"/>
              </w:rPr>
              <w:t>71% mokinių tėvų (globėjų) mano, kad jų vaikai gali pasirinkti tinkamiausius mokymosi būdus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96A">
              <w:rPr>
                <w:rFonts w:ascii="Times New Roman" w:hAnsi="Times New Roman" w:cs="Times New Roman"/>
                <w:sz w:val="24"/>
                <w:szCs w:val="24"/>
              </w:rPr>
              <w:t>63% mokinių tėvų (globėjų) mano, kad jų vaikai geba planuoti mokymąsi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91E" w:rsidRPr="00B31549" w14:paraId="7A973BA0" w14:textId="77777777" w:rsidTr="00F4302E">
        <w:tc>
          <w:tcPr>
            <w:tcW w:w="3539" w:type="dxa"/>
          </w:tcPr>
          <w:p w14:paraId="26C6621C" w14:textId="55157CA4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Tobulintinas rodiklis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 metais</w:t>
            </w:r>
          </w:p>
        </w:tc>
        <w:tc>
          <w:tcPr>
            <w:tcW w:w="12049" w:type="dxa"/>
          </w:tcPr>
          <w:p w14:paraId="23AE8E56" w14:textId="1C664574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6A">
              <w:rPr>
                <w:rFonts w:ascii="Times New Roman" w:hAnsi="Times New Roman" w:cs="Times New Roman"/>
                <w:sz w:val="24"/>
                <w:szCs w:val="24"/>
              </w:rPr>
              <w:t>Mokymasis</w:t>
            </w:r>
          </w:p>
        </w:tc>
      </w:tr>
      <w:tr w:rsidR="002F091E" w:rsidRPr="00B31549" w14:paraId="620E136A" w14:textId="77777777" w:rsidTr="00F4302E">
        <w:tc>
          <w:tcPr>
            <w:tcW w:w="3539" w:type="dxa"/>
          </w:tcPr>
          <w:p w14:paraId="16D766C8" w14:textId="34D20998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Raktinis žodis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</w:tcPr>
          <w:p w14:paraId="608ED1A8" w14:textId="0B414168" w:rsidR="002F091E" w:rsidRPr="005C36F9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>Savivaldumas</w:t>
            </w:r>
            <w:proofErr w:type="spellEnd"/>
            <w:r w:rsidRPr="005C36F9">
              <w:rPr>
                <w:rFonts w:ascii="Times New Roman" w:hAnsi="Times New Roman" w:cs="Times New Roman"/>
                <w:sz w:val="24"/>
                <w:szCs w:val="24"/>
              </w:rPr>
              <w:t xml:space="preserve"> mokantis</w:t>
            </w:r>
          </w:p>
        </w:tc>
      </w:tr>
      <w:tr w:rsidR="002F091E" w:rsidRPr="00125490" w14:paraId="08461C53" w14:textId="77777777" w:rsidTr="00F4302E">
        <w:tc>
          <w:tcPr>
            <w:tcW w:w="3539" w:type="dxa"/>
          </w:tcPr>
          <w:p w14:paraId="510BAD3D" w14:textId="01B99C05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Kas tobulintina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</w:tcPr>
          <w:p w14:paraId="4801CDEF" w14:textId="7628912C" w:rsidR="002F091E" w:rsidRPr="005C36F9" w:rsidRDefault="002F091E" w:rsidP="00F43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75D3">
              <w:rPr>
                <w:rFonts w:ascii="Times New Roman" w:hAnsi="Times New Roman" w:cs="Times New Roman"/>
                <w:sz w:val="24"/>
                <w:szCs w:val="24"/>
              </w:rPr>
              <w:t>avarankiškai ar  padedant mokytojui, ugdytiniai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bėtų</w:t>
            </w:r>
            <w:r w:rsidRPr="00ED75D3">
              <w:rPr>
                <w:rFonts w:ascii="Times New Roman" w:hAnsi="Times New Roman" w:cs="Times New Roman"/>
                <w:sz w:val="24"/>
                <w:szCs w:val="24"/>
              </w:rPr>
              <w:t xml:space="preserve"> kelti mokymosi tikslus, savarankiškai pasirinkti užduočių atlikimo būdą, susirasti reikiamą informaciją, priemones, klausti ir paprašyti pagalbos, aptarti ir vertinti savo</w:t>
            </w:r>
            <w:r w:rsidR="0024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5D3">
              <w:rPr>
                <w:rFonts w:ascii="Times New Roman" w:hAnsi="Times New Roman" w:cs="Times New Roman"/>
                <w:sz w:val="24"/>
                <w:szCs w:val="24"/>
              </w:rPr>
              <w:t>mokymąsi, planuoti ir valdyti laiką.</w:t>
            </w:r>
          </w:p>
        </w:tc>
      </w:tr>
      <w:tr w:rsidR="002F091E" w:rsidRPr="00CF46F7" w14:paraId="4A9E6053" w14:textId="77777777" w:rsidTr="00F4302E">
        <w:tc>
          <w:tcPr>
            <w:tcW w:w="3539" w:type="dxa"/>
          </w:tcPr>
          <w:p w14:paraId="541C8611" w14:textId="6235ED60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Kokį poveikį mokyklos pažangai turėjo pasirinktos veiklos tobulinimas? </w:t>
            </w:r>
          </w:p>
        </w:tc>
        <w:tc>
          <w:tcPr>
            <w:tcW w:w="12049" w:type="dxa"/>
          </w:tcPr>
          <w:p w14:paraId="65500A0C" w14:textId="7196D05F" w:rsidR="002F091E" w:rsidRPr="00DE71ED" w:rsidRDefault="002F091E" w:rsidP="002F091E">
            <w:pPr>
              <w:tabs>
                <w:tab w:val="left" w:pos="6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3657">
              <w:rPr>
                <w:rFonts w:ascii="Times New Roman" w:hAnsi="Times New Roman" w:cs="Times New Roman"/>
                <w:sz w:val="24"/>
                <w:szCs w:val="24"/>
              </w:rPr>
              <w:t>udaryta įstaigos UTA komanda, patvirtinta direktoriaus įsakymu 2022 m. rugpjūčio  24  d.  Nr. 4-45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Pr="00773657">
              <w:rPr>
                <w:rFonts w:ascii="Times New Roman" w:hAnsi="Times New Roman" w:cs="Times New Roman"/>
                <w:sz w:val="24"/>
                <w:szCs w:val="24"/>
              </w:rPr>
              <w:t>arengtas ir direktoriaus 2022 m. rugpjūčio 31 d. įsakymu Nr. 4-60 patvirtintas įstaigos UTA planas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Pr="00773657">
              <w:rPr>
                <w:rFonts w:ascii="Times New Roman" w:hAnsi="Times New Roman" w:cs="Times New Roman"/>
                <w:sz w:val="24"/>
                <w:szCs w:val="24"/>
              </w:rPr>
              <w:t>tlikta pasirengimo diegti atnaujintas ugdymo programas analizė ir susitarta dėl strateginių kaitos krypčių, susijusių su atnaujintų BP įgyvendinimu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9C1">
              <w:rPr>
                <w:rFonts w:ascii="Times New Roman" w:hAnsi="Times New Roman" w:cs="Times New Roman"/>
                <w:sz w:val="24"/>
                <w:szCs w:val="24"/>
              </w:rPr>
              <w:t>Pamokose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/veiklose</w:t>
            </w:r>
            <w:r w:rsidRPr="00E709C1">
              <w:rPr>
                <w:rFonts w:ascii="Times New Roman" w:hAnsi="Times New Roman" w:cs="Times New Roman"/>
                <w:sz w:val="24"/>
                <w:szCs w:val="24"/>
              </w:rPr>
              <w:t xml:space="preserve"> akcentuojamos išmatuojamos kompetencijos išreiškiamos mokinio elgesiu, formuluojamos mokytojų ir mokinių.</w:t>
            </w:r>
            <w:r w:rsidRPr="00DE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91E" w:rsidRPr="00A3509C" w14:paraId="78C8AA26" w14:textId="77777777" w:rsidTr="00F4302E">
        <w:trPr>
          <w:trHeight w:val="1160"/>
        </w:trPr>
        <w:tc>
          <w:tcPr>
            <w:tcW w:w="3539" w:type="dxa"/>
          </w:tcPr>
          <w:p w14:paraId="590714B6" w14:textId="5F0B7176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Tobulintos veiklos poveikis mokiniams: kaip keitėsi mokinių pasiekimų lygmenys? </w:t>
            </w:r>
          </w:p>
        </w:tc>
        <w:tc>
          <w:tcPr>
            <w:tcW w:w="12049" w:type="dxa"/>
          </w:tcPr>
          <w:p w14:paraId="7FB25DE2" w14:textId="67A098F8" w:rsidR="002F091E" w:rsidRPr="005C36F9" w:rsidRDefault="002F091E" w:rsidP="002F091E">
            <w:pPr>
              <w:tabs>
                <w:tab w:val="left" w:pos="6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metais b</w:t>
            </w:r>
            <w:r w:rsidRPr="00435C6B">
              <w:rPr>
                <w:rFonts w:ascii="Times New Roman" w:hAnsi="Times New Roman" w:cs="Times New Roman"/>
                <w:sz w:val="24"/>
                <w:szCs w:val="24"/>
              </w:rPr>
              <w:t>esimokančiųjų visus mokomuosius dalykus aukštesniuoju lygiu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C6B">
              <w:rPr>
                <w:rFonts w:ascii="Times New Roman" w:hAnsi="Times New Roman" w:cs="Times New Roman"/>
                <w:sz w:val="24"/>
                <w:szCs w:val="24"/>
              </w:rPr>
              <w:t>padaugėjo 6 daugiau lyginant su I pusmečiu.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C6B">
              <w:rPr>
                <w:rFonts w:ascii="Times New Roman" w:hAnsi="Times New Roman" w:cs="Times New Roman"/>
                <w:sz w:val="24"/>
                <w:szCs w:val="24"/>
              </w:rPr>
              <w:t>Stabilus mokinių skaičius, kurie mokosi aukštesniuoju lygiu matematikos (31%).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C6B">
              <w:rPr>
                <w:rFonts w:ascii="Times New Roman" w:hAnsi="Times New Roman" w:cs="Times New Roman"/>
                <w:sz w:val="24"/>
                <w:szCs w:val="24"/>
              </w:rPr>
              <w:t>Padaugėjo mokinių, kurie mokosi pagrindiniu lygiu matematikos (6%), pasaulio pažinimo (6%).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C6B">
              <w:rPr>
                <w:rFonts w:ascii="Times New Roman" w:hAnsi="Times New Roman" w:cs="Times New Roman"/>
                <w:sz w:val="24"/>
                <w:szCs w:val="24"/>
              </w:rPr>
              <w:t>Sumažėjo mokinių, kurie mokosi patenkinamu lygiu pasaulio pažinimo (4%), matematikos (11%).</w:t>
            </w:r>
          </w:p>
        </w:tc>
      </w:tr>
      <w:tr w:rsidR="002F091E" w:rsidRPr="00A3509C" w14:paraId="45A7F97E" w14:textId="77777777" w:rsidTr="00F4302E">
        <w:tc>
          <w:tcPr>
            <w:tcW w:w="3539" w:type="dxa"/>
          </w:tcPr>
          <w:p w14:paraId="4534682B" w14:textId="49E06706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Tobulintos veiklos poveikis mokiniams: kokį poveikį pasirinktos veiklos tobulinimas turėjo mokinių pažangai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049" w:type="dxa"/>
          </w:tcPr>
          <w:p w14:paraId="6DB4A196" w14:textId="73009B6C" w:rsidR="002F091E" w:rsidRPr="005C36F9" w:rsidRDefault="002F091E" w:rsidP="00F4302E">
            <w:pPr>
              <w:tabs>
                <w:tab w:val="left" w:pos="69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</w:t>
            </w:r>
            <w:r w:rsidRPr="0067455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radinį išsilavinimą įgijo 100% ketvirtos klasės mokinių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67455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1-4 klasių 80% mokinių pasiekė lietuvių, anglų kalbų, matematikos, pasaulio pažinimo pagrindinį ir aukštesnįjį lygius. 2022 metų 4 klasės mokinių NMPP rezultatai – siekia ar viršija šalies taškų vidurkį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E709C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80-100% ugdytinių geba ir yra motyvuojami mokytis bendradarbiaujant įvairiomis aplinkybėmis įvairios sudėties ir dydžio grupėse bei </w:t>
            </w:r>
            <w:proofErr w:type="spellStart"/>
            <w:r w:rsidRPr="00E709C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partneriškai</w:t>
            </w:r>
            <w:proofErr w:type="spellEnd"/>
            <w:r w:rsidRPr="00E709C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(poromis). </w:t>
            </w:r>
            <w:r w:rsidRPr="00BE711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100% mokinių geba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savarankiškai arba su pagalba </w:t>
            </w:r>
            <w:r w:rsidRPr="00BE711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naudo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tis</w:t>
            </w:r>
            <w:r w:rsidRPr="00BE711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skaitmeninėmis mokymosi platformomis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</w:tr>
      <w:tr w:rsidR="002F091E" w:rsidRPr="00A3509C" w14:paraId="291C10D6" w14:textId="77777777" w:rsidTr="00F4302E">
        <w:tc>
          <w:tcPr>
            <w:tcW w:w="3539" w:type="dxa"/>
          </w:tcPr>
          <w:p w14:paraId="581B364E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Tobulintos veiklos poveikis mokiniams: kokios papildomos sąlygos sudarytos mokinių </w:t>
            </w:r>
            <w:r w:rsidRPr="00193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asmenybės ugdymui tobulinant pasirinktą veiklą?</w:t>
            </w:r>
          </w:p>
        </w:tc>
        <w:tc>
          <w:tcPr>
            <w:tcW w:w="12049" w:type="dxa"/>
          </w:tcPr>
          <w:p w14:paraId="26FF3EE1" w14:textId="2BA02558" w:rsidR="002F091E" w:rsidRPr="005C36F9" w:rsidRDefault="002F091E" w:rsidP="002F091E">
            <w:pPr>
              <w:tabs>
                <w:tab w:val="left" w:pos="6965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470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 xml:space="preserve">Įgyvendintas projektas „Tarptautinės grupės ikimokyklinukams“, padėjo ne tik sėkmingus pamatus </w:t>
            </w:r>
            <w:proofErr w:type="spellStart"/>
            <w:r w:rsidRPr="007470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angliakalbių</w:t>
            </w:r>
            <w:proofErr w:type="spellEnd"/>
            <w:r w:rsidRPr="007470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 atvykusių arba sugrįžusių gyventi į Lietuvą šeimų vaikams, bet ir iš Ukrainos atvykusiems vaikams sudaryti motyvuojančią aplinką bei patenkinti skirtingus ugdytinių lūkesčius.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D</w:t>
            </w:r>
            <w:r w:rsidRPr="006E110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iegiama vieninga visų amžiaus tarpsnių vaikų įsivertinimo sistema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 xml:space="preserve">Organizuoti 2-3 ilgalaikiai </w:t>
            </w:r>
            <w:proofErr w:type="spellStart"/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patyriminiai</w:t>
            </w:r>
            <w:proofErr w:type="spellEnd"/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 probleminiai mokymo projektai klasėje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 grupėje</w:t>
            </w:r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kai pateikiamos praktinės problemos/klausimai ir mokinys ar mokinių grupė bando savarankiškai jas spręsti užduodami klausimus, tirdami situacijas, ieškodami papildomos medžiagos, konsultuodamiesi.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rojekt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ai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 veikl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os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,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skatin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usios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vaikų sakytinės kalbos tobulėjimą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 Vykdyti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įvair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ū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 aplinkos tyrinėjim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ai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(vaikai aktyvūs dalyviai) grupėje,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klasėje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kieme, išvykose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kuri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įgalino</w:t>
            </w:r>
            <w:r w:rsidRPr="00435C6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spręsti aktualias su gyvenimu susijusias problemas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F091E" w:rsidRPr="00A3509C" w14:paraId="4C4D1F3E" w14:textId="77777777" w:rsidTr="00F4302E">
        <w:tc>
          <w:tcPr>
            <w:tcW w:w="3539" w:type="dxa"/>
          </w:tcPr>
          <w:p w14:paraId="34BEA614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Kokias kompetencijas tobulino mokytojai, švietimo pagalbos specialistai ir vadovai? </w:t>
            </w:r>
          </w:p>
        </w:tc>
        <w:tc>
          <w:tcPr>
            <w:tcW w:w="12049" w:type="dxa"/>
          </w:tcPr>
          <w:p w14:paraId="10F619EC" w14:textId="5B5134C5" w:rsidR="002F091E" w:rsidRPr="005C36F9" w:rsidRDefault="002F091E" w:rsidP="002F091E">
            <w:pPr>
              <w:tabs>
                <w:tab w:val="left" w:pos="6965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73657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100% priešmokyklinio, pradinio ugdymo mokytojų dalyvavo įstaigos pasirengimo diegti atnaujintas programas veiklose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E709C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Mokytojai pagilino bendrąsias ir dalykines, naujų technologijų (įrenginių, programinės įrangos, programų) valdymo, skaitmeninio mokymo ir mokymosi, tiriamosios veiklos, mokymosi proceso valdymo kompetencijas.</w:t>
            </w:r>
          </w:p>
        </w:tc>
      </w:tr>
      <w:tr w:rsidR="002F091E" w:rsidRPr="00A3509C" w14:paraId="6D5207CC" w14:textId="77777777" w:rsidTr="00F4302E">
        <w:tc>
          <w:tcPr>
            <w:tcW w:w="3539" w:type="dxa"/>
          </w:tcPr>
          <w:p w14:paraId="45B46351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>Ką mokytojai, švietimo pagalbos specialistai ir vadovai pritaikė (pavyzdžiui, metodą, strategiją, teoriją, metodiką ar kt.) savo veikloje po kvalifikacijos tobulinimo?</w:t>
            </w:r>
          </w:p>
        </w:tc>
        <w:tc>
          <w:tcPr>
            <w:tcW w:w="12049" w:type="dxa"/>
          </w:tcPr>
          <w:p w14:paraId="3452F371" w14:textId="463D0987" w:rsidR="002F091E" w:rsidRPr="005C36F9" w:rsidRDefault="002F091E" w:rsidP="002F091E">
            <w:pPr>
              <w:tabs>
                <w:tab w:val="left" w:pos="6965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1-4 klasėse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organizuotos</w:t>
            </w:r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6-7  savarankiško mokymosi dienos per mokslo metus, kurių metu vyk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</w:t>
            </w:r>
            <w:r w:rsidRPr="00FD4DA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mokymasis vaiko iniciatyva, leidžiama pačiam pasirinkti, kaip atlikti užduot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is. </w:t>
            </w:r>
            <w:r w:rsidRPr="0067455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100% ikimokyklinio ir priešmokyklinio ugdymo mokytojų stebi, fiksuoja, analizuoja vaikų įsitraukimo į veiklas lygį ir remiantis gautais duomenimis, tobulino ugdymo procesą.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Mokslo metų gale baigiamasis renginys „Žinių džiazas“, kur</w:t>
            </w:r>
            <w:r w:rsidR="004C1EC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io metu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vaikai 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savarankiškai ar  padedant mokytojui, 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ėlė 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sau mokymosi tikslus, savarankiškai pasirink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užduočių atlikimo būdą, susir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ado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reikiamą informaciją, priemones, klaus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ė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ir praš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ė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pagalbos, aptar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ė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ir vertin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savo mokymąsi, plan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avo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ir vald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ė</w:t>
            </w:r>
            <w:r w:rsidRPr="00A2194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laiką.</w:t>
            </w:r>
          </w:p>
        </w:tc>
      </w:tr>
      <w:tr w:rsidR="002F091E" w:rsidRPr="00A3509C" w14:paraId="79F194F8" w14:textId="77777777" w:rsidTr="00F4302E">
        <w:tc>
          <w:tcPr>
            <w:tcW w:w="3539" w:type="dxa"/>
          </w:tcPr>
          <w:p w14:paraId="7F01FD77" w14:textId="7777777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Kokią įtaką (poveikį) mokytojų, švietimo pagalbos specialistų ir vadovų mokymasis turėjo mokinių pasiekimams ir pažangai?  </w:t>
            </w:r>
          </w:p>
        </w:tc>
        <w:tc>
          <w:tcPr>
            <w:tcW w:w="12049" w:type="dxa"/>
          </w:tcPr>
          <w:p w14:paraId="0A65AEDA" w14:textId="6EAF8A1C" w:rsidR="002F091E" w:rsidRPr="005C36F9" w:rsidRDefault="002F091E" w:rsidP="002F091E">
            <w:pPr>
              <w:tabs>
                <w:tab w:val="left" w:pos="6965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470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100% mokinių padarė individualią pažangą. Stabiliai aukšti pagrindinių mokomųjų dalykų mokinių pasiekimai.</w:t>
            </w:r>
            <w:r>
              <w:t xml:space="preserve"> </w:t>
            </w:r>
          </w:p>
        </w:tc>
      </w:tr>
      <w:tr w:rsidR="002F091E" w:rsidRPr="00A3509C" w14:paraId="0C505404" w14:textId="77777777" w:rsidTr="00F4302E">
        <w:tc>
          <w:tcPr>
            <w:tcW w:w="3539" w:type="dxa"/>
          </w:tcPr>
          <w:p w14:paraId="43ECDBA4" w14:textId="40DD2147" w:rsidR="002F091E" w:rsidRPr="00193062" w:rsidRDefault="002F091E" w:rsidP="002F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062">
              <w:rPr>
                <w:rFonts w:ascii="Times New Roman" w:hAnsi="Times New Roman" w:cs="Times New Roman"/>
                <w:sz w:val="24"/>
                <w:szCs w:val="24"/>
              </w:rPr>
              <w:t xml:space="preserve">Kaip vertinate kasmetinės mokyklų įsivertinimo ir pažangos anketos teikiamą naudą mokyklai? </w:t>
            </w:r>
          </w:p>
        </w:tc>
        <w:tc>
          <w:tcPr>
            <w:tcW w:w="12049" w:type="dxa"/>
          </w:tcPr>
          <w:p w14:paraId="63F01486" w14:textId="11990F4F" w:rsidR="002F091E" w:rsidRPr="005C36F9" w:rsidRDefault="002F091E" w:rsidP="002F091E">
            <w:pPr>
              <w:tabs>
                <w:tab w:val="left" w:pos="6965"/>
              </w:tabs>
              <w:ind w:left="34" w:hanging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F8525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Kasmetinis mokyklos veiklos įsivertinimas ir pažangos stebėjimas skatina bendruomenės diskusiją apie aukštą ugdymo kokybę ir jos siekį.</w:t>
            </w:r>
          </w:p>
        </w:tc>
      </w:tr>
    </w:tbl>
    <w:p w14:paraId="61DC856A" w14:textId="1894D31F" w:rsidR="00ED7194" w:rsidRDefault="00ED7194" w:rsidP="00E86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40D14" w14:textId="2E4EF986" w:rsidR="00416F95" w:rsidRDefault="00416F95" w:rsidP="00E86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sectPr w:rsidR="00416F95" w:rsidSect="00F4302E">
      <w:headerReference w:type="default" r:id="rId6"/>
      <w:pgSz w:w="16838" w:h="11906" w:orient="landscape"/>
      <w:pgMar w:top="624" w:right="624" w:bottom="567" w:left="79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F055" w14:textId="77777777" w:rsidR="00C076A3" w:rsidRDefault="00C076A3" w:rsidP="00F4302E">
      <w:pPr>
        <w:spacing w:after="0" w:line="240" w:lineRule="auto"/>
      </w:pPr>
      <w:r>
        <w:separator/>
      </w:r>
    </w:p>
  </w:endnote>
  <w:endnote w:type="continuationSeparator" w:id="0">
    <w:p w14:paraId="0A496F9A" w14:textId="77777777" w:rsidR="00C076A3" w:rsidRDefault="00C076A3" w:rsidP="00F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A4AA" w14:textId="77777777" w:rsidR="00C076A3" w:rsidRDefault="00C076A3" w:rsidP="00F4302E">
      <w:pPr>
        <w:spacing w:after="0" w:line="240" w:lineRule="auto"/>
      </w:pPr>
      <w:r>
        <w:separator/>
      </w:r>
    </w:p>
  </w:footnote>
  <w:footnote w:type="continuationSeparator" w:id="0">
    <w:p w14:paraId="24DFB798" w14:textId="77777777" w:rsidR="00C076A3" w:rsidRDefault="00C076A3" w:rsidP="00F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209599"/>
      <w:docPartObj>
        <w:docPartGallery w:val="Page Numbers (Top of Page)"/>
        <w:docPartUnique/>
      </w:docPartObj>
    </w:sdtPr>
    <w:sdtEndPr/>
    <w:sdtContent>
      <w:p w14:paraId="40956FC9" w14:textId="34683985" w:rsidR="00F4302E" w:rsidRDefault="00F430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16409" w14:textId="77777777" w:rsidR="00F4302E" w:rsidRDefault="00F430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4"/>
    <w:rsid w:val="0005231E"/>
    <w:rsid w:val="000C4F2D"/>
    <w:rsid w:val="000F4CC9"/>
    <w:rsid w:val="00125490"/>
    <w:rsid w:val="00164782"/>
    <w:rsid w:val="00175ED5"/>
    <w:rsid w:val="00176D06"/>
    <w:rsid w:val="001863C3"/>
    <w:rsid w:val="00193062"/>
    <w:rsid w:val="001A0949"/>
    <w:rsid w:val="001E1F20"/>
    <w:rsid w:val="001F1858"/>
    <w:rsid w:val="001F3DFD"/>
    <w:rsid w:val="00204BBA"/>
    <w:rsid w:val="00207451"/>
    <w:rsid w:val="00246748"/>
    <w:rsid w:val="00250097"/>
    <w:rsid w:val="002C58E9"/>
    <w:rsid w:val="002D79B7"/>
    <w:rsid w:val="002F091E"/>
    <w:rsid w:val="00330ABF"/>
    <w:rsid w:val="00343B2D"/>
    <w:rsid w:val="003C1494"/>
    <w:rsid w:val="003C5A01"/>
    <w:rsid w:val="003D3317"/>
    <w:rsid w:val="003D3531"/>
    <w:rsid w:val="003F34D1"/>
    <w:rsid w:val="00416F95"/>
    <w:rsid w:val="00432AEA"/>
    <w:rsid w:val="00435C6B"/>
    <w:rsid w:val="00445A8D"/>
    <w:rsid w:val="00451472"/>
    <w:rsid w:val="00454E47"/>
    <w:rsid w:val="00486C87"/>
    <w:rsid w:val="0049094D"/>
    <w:rsid w:val="004B1784"/>
    <w:rsid w:val="004C1EC5"/>
    <w:rsid w:val="005622E9"/>
    <w:rsid w:val="0057109B"/>
    <w:rsid w:val="005723C5"/>
    <w:rsid w:val="00575F99"/>
    <w:rsid w:val="00590C7D"/>
    <w:rsid w:val="005C36F9"/>
    <w:rsid w:val="005E33B4"/>
    <w:rsid w:val="00674558"/>
    <w:rsid w:val="00687D75"/>
    <w:rsid w:val="006E110C"/>
    <w:rsid w:val="0074027A"/>
    <w:rsid w:val="00747071"/>
    <w:rsid w:val="0076559C"/>
    <w:rsid w:val="0077112D"/>
    <w:rsid w:val="00773657"/>
    <w:rsid w:val="00785CBF"/>
    <w:rsid w:val="00797129"/>
    <w:rsid w:val="007E6DFF"/>
    <w:rsid w:val="00804504"/>
    <w:rsid w:val="00832388"/>
    <w:rsid w:val="00833E2B"/>
    <w:rsid w:val="008829C9"/>
    <w:rsid w:val="00896CF8"/>
    <w:rsid w:val="00896D17"/>
    <w:rsid w:val="008C4FE3"/>
    <w:rsid w:val="00964B03"/>
    <w:rsid w:val="009727D6"/>
    <w:rsid w:val="0097590B"/>
    <w:rsid w:val="00996057"/>
    <w:rsid w:val="009D17FA"/>
    <w:rsid w:val="009F7C5C"/>
    <w:rsid w:val="00A2194B"/>
    <w:rsid w:val="00A3509C"/>
    <w:rsid w:val="00A44C5C"/>
    <w:rsid w:val="00A74CEB"/>
    <w:rsid w:val="00A7638E"/>
    <w:rsid w:val="00A86A45"/>
    <w:rsid w:val="00AB0517"/>
    <w:rsid w:val="00AC7B3E"/>
    <w:rsid w:val="00AE35F1"/>
    <w:rsid w:val="00B17E98"/>
    <w:rsid w:val="00B31549"/>
    <w:rsid w:val="00BE7116"/>
    <w:rsid w:val="00C076A3"/>
    <w:rsid w:val="00C11D11"/>
    <w:rsid w:val="00C3352D"/>
    <w:rsid w:val="00C677F1"/>
    <w:rsid w:val="00C7248C"/>
    <w:rsid w:val="00CA647C"/>
    <w:rsid w:val="00CB4F6A"/>
    <w:rsid w:val="00CD2AF1"/>
    <w:rsid w:val="00CF46F7"/>
    <w:rsid w:val="00D00B87"/>
    <w:rsid w:val="00D62036"/>
    <w:rsid w:val="00D77660"/>
    <w:rsid w:val="00DE71ED"/>
    <w:rsid w:val="00E04131"/>
    <w:rsid w:val="00E064FC"/>
    <w:rsid w:val="00E11AAC"/>
    <w:rsid w:val="00E709C1"/>
    <w:rsid w:val="00E86144"/>
    <w:rsid w:val="00EB096A"/>
    <w:rsid w:val="00EC6BC2"/>
    <w:rsid w:val="00ED7194"/>
    <w:rsid w:val="00ED75D3"/>
    <w:rsid w:val="00EF5BB9"/>
    <w:rsid w:val="00F17EFC"/>
    <w:rsid w:val="00F3623C"/>
    <w:rsid w:val="00F4302E"/>
    <w:rsid w:val="00F606BF"/>
    <w:rsid w:val="00F85256"/>
    <w:rsid w:val="00F972C6"/>
    <w:rsid w:val="00FA6A1C"/>
    <w:rsid w:val="00FD4DA2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DED"/>
  <w15:docId w15:val="{DB0475FC-3EFA-4698-AF25-36C34D1F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1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8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8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86144"/>
    <w:pPr>
      <w:ind w:left="720"/>
      <w:contextualSpacing/>
    </w:pPr>
  </w:style>
  <w:style w:type="paragraph" w:customStyle="1" w:styleId="TableStyle2">
    <w:name w:val="Table Style 2"/>
    <w:rsid w:val="00F606BF"/>
    <w:pP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7971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97129"/>
    <w:rPr>
      <w:rFonts w:ascii="TimesNewRomanPS-BoldMT" w:hAnsi="TimesNewRomanPS-BoldMT" w:hint="default"/>
      <w:b/>
      <w:bCs/>
      <w:i w:val="0"/>
      <w:iCs w:val="0"/>
      <w:color w:val="99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302E"/>
  </w:style>
  <w:style w:type="paragraph" w:styleId="Porat">
    <w:name w:val="footer"/>
    <w:basedOn w:val="prastasis"/>
    <w:link w:val="PoratDiagrama"/>
    <w:uiPriority w:val="99"/>
    <w:unhideWhenUsed/>
    <w:rsid w:val="00F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3766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Eglė Vainikonienė</cp:lastModifiedBy>
  <cp:revision>2</cp:revision>
  <cp:lastPrinted>2020-12-04T14:19:00Z</cp:lastPrinted>
  <dcterms:created xsi:type="dcterms:W3CDTF">2024-05-23T11:10:00Z</dcterms:created>
  <dcterms:modified xsi:type="dcterms:W3CDTF">2024-05-23T11:10:00Z</dcterms:modified>
</cp:coreProperties>
</file>